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bookmarkStart w:id="0" w:name="_GoBack"/>
      <w:bookmarkEnd w:id="0"/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694812">
        <w:rPr>
          <w:rFonts w:hint="eastAsia"/>
          <w:color w:val="000000" w:themeColor="text1"/>
        </w:rPr>
        <w:t xml:space="preserve">山口県立熊毛北高等学校長　</w:t>
      </w:r>
      <w:r w:rsidR="008B3363">
        <w:rPr>
          <w:rFonts w:hint="eastAsia"/>
          <w:color w:val="000000" w:themeColor="text1"/>
        </w:rPr>
        <w:t>児玉</w:t>
      </w:r>
      <w:r w:rsidR="00694812">
        <w:rPr>
          <w:rFonts w:hint="eastAsia"/>
          <w:color w:val="000000" w:themeColor="text1"/>
        </w:rPr>
        <w:t xml:space="preserve">　</w:t>
      </w:r>
      <w:r w:rsidR="008B3363">
        <w:rPr>
          <w:rFonts w:hint="eastAsia"/>
          <w:color w:val="000000" w:themeColor="text1"/>
        </w:rPr>
        <w:t>伊智郎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 w:rsidP="00EC24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</w:t>
            </w:r>
            <w:r w:rsidR="00694812">
              <w:rPr>
                <w:rFonts w:hint="eastAsia"/>
                <w:color w:val="000000" w:themeColor="text1"/>
              </w:rPr>
              <w:t>１</w:t>
            </w:r>
            <w:r w:rsidRPr="00640864">
              <w:rPr>
                <w:rFonts w:hint="eastAsia"/>
                <w:color w:val="000000" w:themeColor="text1"/>
              </w:rPr>
              <w:t xml:space="preserve">　　　　設置場所：</w:t>
            </w:r>
            <w:r w:rsidR="00EC2439">
              <w:rPr>
                <w:rFonts w:hint="eastAsia"/>
                <w:color w:val="000000" w:themeColor="text1"/>
              </w:rPr>
              <w:t>昇降場兼クラブ室棟１階廊下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94812"/>
    <w:rsid w:val="006B25A0"/>
    <w:rsid w:val="0075124A"/>
    <w:rsid w:val="007530FB"/>
    <w:rsid w:val="007A3887"/>
    <w:rsid w:val="007D7745"/>
    <w:rsid w:val="008B3363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EC2439"/>
    <w:rsid w:val="00F247A1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粕谷　姫奈子</cp:lastModifiedBy>
  <cp:revision>2</cp:revision>
  <cp:lastPrinted>2024-11-20T04:15:00Z</cp:lastPrinted>
  <dcterms:created xsi:type="dcterms:W3CDTF">2025-04-22T02:01:00Z</dcterms:created>
  <dcterms:modified xsi:type="dcterms:W3CDTF">2025-04-22T02:01:00Z</dcterms:modified>
</cp:coreProperties>
</file>